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7857" w14:textId="4F739E98" w:rsidR="008360C7" w:rsidRPr="008360C7" w:rsidRDefault="008360C7" w:rsidP="007A1E34">
      <w:pPr>
        <w:jc w:val="both"/>
        <w:rPr>
          <w:rFonts w:ascii="Calibri" w:hAnsi="Calibri" w:cs="Calibri"/>
          <w:b/>
          <w:bCs/>
          <w:sz w:val="22"/>
          <w:szCs w:val="22"/>
        </w:rPr>
      </w:pPr>
      <w:r w:rsidRPr="008360C7">
        <w:rPr>
          <w:rFonts w:ascii="Calibri" w:hAnsi="Calibri" w:cs="Calibri"/>
          <w:b/>
          <w:bCs/>
          <w:sz w:val="22"/>
          <w:szCs w:val="22"/>
        </w:rPr>
        <w:t>Me pregunto.</w:t>
      </w:r>
    </w:p>
    <w:p w14:paraId="660FFBAF" w14:textId="7BAFF694" w:rsidR="00765F9A" w:rsidRDefault="007A1E34" w:rsidP="007A1E34">
      <w:pPr>
        <w:jc w:val="both"/>
        <w:rPr>
          <w:rFonts w:ascii="Calibri" w:hAnsi="Calibri" w:cs="Calibri"/>
          <w:sz w:val="22"/>
          <w:szCs w:val="22"/>
        </w:rPr>
      </w:pPr>
      <w:r w:rsidRPr="007A1E34">
        <w:rPr>
          <w:rFonts w:ascii="Calibri" w:hAnsi="Calibri" w:cs="Calibri"/>
          <w:sz w:val="22"/>
          <w:szCs w:val="22"/>
        </w:rPr>
        <w:t xml:space="preserve">De todas las publicaciones que llevo realizando hasta la fecha, pocos participantes han sido los que han cuestionado los artículos publicados. Lo que más me preocupa es, que pocos se cuestionan la historia de ciertos detalles que nos llevan a dudar sobre la actuación y el comportamiento de muchos de nuestros oficiales, durante los meses de julio y agosto de 1921. </w:t>
      </w:r>
    </w:p>
    <w:p w14:paraId="1509642B" w14:textId="6C1B1560" w:rsidR="00940169" w:rsidRPr="007A1E34" w:rsidRDefault="007A1E34" w:rsidP="007A1E34">
      <w:pPr>
        <w:jc w:val="both"/>
        <w:rPr>
          <w:rFonts w:ascii="Calibri" w:hAnsi="Calibri" w:cs="Calibri"/>
          <w:sz w:val="22"/>
          <w:szCs w:val="22"/>
        </w:rPr>
      </w:pPr>
      <w:r w:rsidRPr="007A1E34">
        <w:rPr>
          <w:rFonts w:ascii="Calibri" w:hAnsi="Calibri" w:cs="Calibri"/>
          <w:sz w:val="22"/>
          <w:szCs w:val="22"/>
        </w:rPr>
        <w:t xml:space="preserve">El expediente 51, </w:t>
      </w:r>
      <w:r w:rsidRPr="007A1E34">
        <w:rPr>
          <w:rFonts w:ascii="Calibri" w:hAnsi="Calibri" w:cs="Calibri"/>
          <w:sz w:val="22"/>
          <w:szCs w:val="22"/>
        </w:rPr>
        <w:t xml:space="preserve">Causa en única instancia </w:t>
      </w:r>
      <w:r w:rsidRPr="007A1E34">
        <w:rPr>
          <w:rFonts w:ascii="Calibri" w:hAnsi="Calibri" w:cs="Calibri"/>
          <w:sz w:val="22"/>
          <w:szCs w:val="22"/>
        </w:rPr>
        <w:t xml:space="preserve">que se </w:t>
      </w:r>
      <w:r w:rsidRPr="007A1E34">
        <w:rPr>
          <w:rFonts w:ascii="Calibri" w:hAnsi="Calibri" w:cs="Calibri"/>
          <w:sz w:val="22"/>
          <w:szCs w:val="22"/>
        </w:rPr>
        <w:t>instru</w:t>
      </w:r>
      <w:r w:rsidRPr="007A1E34">
        <w:rPr>
          <w:rFonts w:ascii="Calibri" w:hAnsi="Calibri" w:cs="Calibri"/>
          <w:sz w:val="22"/>
          <w:szCs w:val="22"/>
        </w:rPr>
        <w:t>yó</w:t>
      </w:r>
      <w:r w:rsidRPr="007A1E34">
        <w:rPr>
          <w:rFonts w:ascii="Calibri" w:hAnsi="Calibri" w:cs="Calibri"/>
          <w:sz w:val="22"/>
          <w:szCs w:val="22"/>
        </w:rPr>
        <w:t xml:space="preserve"> para depurar las responsabilidades en que pu</w:t>
      </w:r>
      <w:r w:rsidRPr="007A1E34">
        <w:rPr>
          <w:rFonts w:ascii="Calibri" w:hAnsi="Calibri" w:cs="Calibri"/>
          <w:sz w:val="22"/>
          <w:szCs w:val="22"/>
        </w:rPr>
        <w:t>do</w:t>
      </w:r>
      <w:r w:rsidRPr="007A1E34">
        <w:rPr>
          <w:rFonts w:ascii="Calibri" w:hAnsi="Calibri" w:cs="Calibri"/>
          <w:sz w:val="22"/>
          <w:szCs w:val="22"/>
        </w:rPr>
        <w:t xml:space="preserve"> haber incurrido el Mando con motivo de los sucesos desarrollados en el territorio de la Comandancia General de Melilla en los meses de julio y agosto de 1921</w:t>
      </w:r>
      <w:r w:rsidRPr="007A1E34">
        <w:rPr>
          <w:rFonts w:ascii="Calibri" w:hAnsi="Calibri" w:cs="Calibri"/>
          <w:sz w:val="22"/>
          <w:szCs w:val="22"/>
        </w:rPr>
        <w:t xml:space="preserve">, no aclaró verdaderamente las causas del Desastre de Annual. Tampoco sus fallos resarcieron la vida de los más de siete mil ochocientos hombres que perecieron, sólo en ese periodo de tiempo indicado. </w:t>
      </w:r>
    </w:p>
    <w:p w14:paraId="2AE758DA" w14:textId="79E39A0E" w:rsidR="007A1E34" w:rsidRDefault="007A1E34" w:rsidP="007A1E34">
      <w:pPr>
        <w:jc w:val="both"/>
        <w:rPr>
          <w:rFonts w:ascii="Calibri" w:hAnsi="Calibri" w:cs="Calibri"/>
          <w:sz w:val="22"/>
          <w:szCs w:val="22"/>
        </w:rPr>
      </w:pPr>
      <w:r w:rsidRPr="007A1E34">
        <w:rPr>
          <w:rFonts w:ascii="Calibri" w:hAnsi="Calibri" w:cs="Calibri"/>
          <w:sz w:val="22"/>
          <w:szCs w:val="22"/>
        </w:rPr>
        <w:t xml:space="preserve">Como personas interesadas y con </w:t>
      </w:r>
      <w:r>
        <w:rPr>
          <w:rFonts w:ascii="Calibri" w:hAnsi="Calibri" w:cs="Calibri"/>
          <w:sz w:val="22"/>
          <w:szCs w:val="22"/>
        </w:rPr>
        <w:t xml:space="preserve">un </w:t>
      </w:r>
      <w:r w:rsidRPr="007A1E34">
        <w:rPr>
          <w:rFonts w:ascii="Calibri" w:hAnsi="Calibri" w:cs="Calibri"/>
          <w:sz w:val="22"/>
          <w:szCs w:val="22"/>
        </w:rPr>
        <w:t>conocimiento</w:t>
      </w:r>
      <w:r>
        <w:rPr>
          <w:rFonts w:ascii="Calibri" w:hAnsi="Calibri" w:cs="Calibri"/>
          <w:sz w:val="22"/>
          <w:szCs w:val="22"/>
        </w:rPr>
        <w:t xml:space="preserve"> avanzado de las campañas de África, no podemos obviar el cuestionarnos ciertas decisiones</w:t>
      </w:r>
      <w:r w:rsidR="00A40071">
        <w:rPr>
          <w:rFonts w:ascii="Calibri" w:hAnsi="Calibri" w:cs="Calibri"/>
          <w:sz w:val="22"/>
          <w:szCs w:val="22"/>
        </w:rPr>
        <w:t>. L</w:t>
      </w:r>
      <w:r>
        <w:rPr>
          <w:rFonts w:ascii="Calibri" w:hAnsi="Calibri" w:cs="Calibri"/>
          <w:sz w:val="22"/>
          <w:szCs w:val="22"/>
        </w:rPr>
        <w:t xml:space="preserve">os tiempos y las etapas </w:t>
      </w:r>
      <w:r w:rsidR="00A40071">
        <w:rPr>
          <w:rFonts w:ascii="Calibri" w:hAnsi="Calibri" w:cs="Calibri"/>
          <w:sz w:val="22"/>
          <w:szCs w:val="22"/>
        </w:rPr>
        <w:t xml:space="preserve">de </w:t>
      </w:r>
      <w:r>
        <w:rPr>
          <w:rFonts w:ascii="Calibri" w:hAnsi="Calibri" w:cs="Calibri"/>
          <w:sz w:val="22"/>
          <w:szCs w:val="22"/>
        </w:rPr>
        <w:t>ciertos acontecimientos posteriores al repliegue de Annual resulta</w:t>
      </w:r>
      <w:r w:rsidR="00A40071">
        <w:rPr>
          <w:rFonts w:ascii="Calibri" w:hAnsi="Calibri" w:cs="Calibri"/>
          <w:sz w:val="22"/>
          <w:szCs w:val="22"/>
        </w:rPr>
        <w:t>n</w:t>
      </w:r>
      <w:r>
        <w:rPr>
          <w:rFonts w:ascii="Calibri" w:hAnsi="Calibri" w:cs="Calibri"/>
          <w:sz w:val="22"/>
          <w:szCs w:val="22"/>
        </w:rPr>
        <w:t xml:space="preserve"> bastante difícil</w:t>
      </w:r>
      <w:r w:rsidR="00A40071">
        <w:rPr>
          <w:rFonts w:ascii="Calibri" w:hAnsi="Calibri" w:cs="Calibri"/>
          <w:sz w:val="22"/>
          <w:szCs w:val="22"/>
        </w:rPr>
        <w:t xml:space="preserve">es </w:t>
      </w:r>
      <w:r>
        <w:rPr>
          <w:rFonts w:ascii="Calibri" w:hAnsi="Calibri" w:cs="Calibri"/>
          <w:sz w:val="22"/>
          <w:szCs w:val="22"/>
        </w:rPr>
        <w:t xml:space="preserve">de explicar. </w:t>
      </w:r>
    </w:p>
    <w:p w14:paraId="6F195808" w14:textId="537A36B1" w:rsidR="007A1E34" w:rsidRDefault="007A1E34" w:rsidP="007A1E34">
      <w:pPr>
        <w:jc w:val="both"/>
        <w:rPr>
          <w:rFonts w:ascii="Calibri" w:hAnsi="Calibri" w:cs="Calibri"/>
          <w:sz w:val="22"/>
          <w:szCs w:val="22"/>
        </w:rPr>
      </w:pPr>
      <w:r>
        <w:rPr>
          <w:rFonts w:ascii="Calibri" w:hAnsi="Calibri" w:cs="Calibri"/>
          <w:sz w:val="22"/>
          <w:szCs w:val="22"/>
        </w:rPr>
        <w:t xml:space="preserve">En referencia </w:t>
      </w:r>
      <w:r w:rsidR="00482CBF">
        <w:rPr>
          <w:rFonts w:ascii="Calibri" w:hAnsi="Calibri" w:cs="Calibri"/>
          <w:sz w:val="22"/>
          <w:szCs w:val="22"/>
        </w:rPr>
        <w:t xml:space="preserve">a las instancias, telegramas y comunicaciones sobre </w:t>
      </w:r>
      <w:r>
        <w:rPr>
          <w:rFonts w:ascii="Calibri" w:hAnsi="Calibri" w:cs="Calibri"/>
          <w:sz w:val="22"/>
          <w:szCs w:val="22"/>
        </w:rPr>
        <w:t xml:space="preserve">al aumento y envío de refuerzos solicitados </w:t>
      </w:r>
      <w:r w:rsidR="00482CBF">
        <w:rPr>
          <w:rFonts w:ascii="Calibri" w:hAnsi="Calibri" w:cs="Calibri"/>
          <w:sz w:val="22"/>
          <w:szCs w:val="22"/>
        </w:rPr>
        <w:t xml:space="preserve">directamente </w:t>
      </w:r>
      <w:r>
        <w:rPr>
          <w:rFonts w:ascii="Calibri" w:hAnsi="Calibri" w:cs="Calibri"/>
          <w:sz w:val="22"/>
          <w:szCs w:val="22"/>
        </w:rPr>
        <w:t xml:space="preserve">por el General Manuel Fernández Silvestre </w:t>
      </w:r>
      <w:r w:rsidR="00482CBF">
        <w:rPr>
          <w:rFonts w:ascii="Calibri" w:hAnsi="Calibri" w:cs="Calibri"/>
          <w:sz w:val="22"/>
          <w:szCs w:val="22"/>
        </w:rPr>
        <w:t xml:space="preserve">a sus superiores el Alto Comisario General Dámaso Berenguer y al Ministro de la Guerra el Vizconde de Eza, nadie se cuestiona el motivo real por el cual el Alto Comisario no movilizó tropas desde las regiones de Yebala, Gomara y Garb para apoyar las operaciones en las regiones del Rif </w:t>
      </w:r>
      <w:r w:rsidR="00A40071">
        <w:rPr>
          <w:rFonts w:ascii="Calibri" w:hAnsi="Calibri" w:cs="Calibri"/>
          <w:sz w:val="22"/>
          <w:szCs w:val="22"/>
        </w:rPr>
        <w:t>o</w:t>
      </w:r>
      <w:r w:rsidR="00482CBF">
        <w:rPr>
          <w:rFonts w:ascii="Calibri" w:hAnsi="Calibri" w:cs="Calibri"/>
          <w:sz w:val="22"/>
          <w:szCs w:val="22"/>
        </w:rPr>
        <w:t xml:space="preserve">riental y </w:t>
      </w:r>
      <w:r w:rsidR="00A40071">
        <w:rPr>
          <w:rFonts w:ascii="Calibri" w:hAnsi="Calibri" w:cs="Calibri"/>
          <w:sz w:val="22"/>
          <w:szCs w:val="22"/>
        </w:rPr>
        <w:t>c</w:t>
      </w:r>
      <w:r w:rsidR="00482CBF">
        <w:rPr>
          <w:rFonts w:ascii="Calibri" w:hAnsi="Calibri" w:cs="Calibri"/>
          <w:sz w:val="22"/>
          <w:szCs w:val="22"/>
        </w:rPr>
        <w:t xml:space="preserve">entral. </w:t>
      </w:r>
    </w:p>
    <w:p w14:paraId="1C6AFA7D" w14:textId="77777777" w:rsidR="00765F9A" w:rsidRPr="00765F9A" w:rsidRDefault="00482CBF" w:rsidP="007A1E34">
      <w:pPr>
        <w:jc w:val="both"/>
        <w:rPr>
          <w:rFonts w:ascii="Calibri" w:hAnsi="Calibri" w:cs="Calibri"/>
          <w:sz w:val="22"/>
          <w:szCs w:val="22"/>
          <w:u w:val="single"/>
        </w:rPr>
      </w:pPr>
      <w:r w:rsidRPr="00765F9A">
        <w:rPr>
          <w:rFonts w:ascii="Calibri" w:hAnsi="Calibri" w:cs="Calibri"/>
          <w:sz w:val="22"/>
          <w:szCs w:val="22"/>
          <w:u w:val="single"/>
        </w:rPr>
        <w:t xml:space="preserve">¿Informó verdaderamente el Alto Comisario General Dámaso Berenguer al Ministro de la Guerra de su situación Real y porqué acumuló tantas tropas bajo su mando? </w:t>
      </w:r>
    </w:p>
    <w:p w14:paraId="2BBF003F" w14:textId="04D14A46" w:rsidR="00482CBF" w:rsidRDefault="00482CBF" w:rsidP="007A1E34">
      <w:pPr>
        <w:jc w:val="both"/>
        <w:rPr>
          <w:rFonts w:ascii="Calibri" w:hAnsi="Calibri" w:cs="Calibri"/>
          <w:sz w:val="22"/>
          <w:szCs w:val="22"/>
        </w:rPr>
      </w:pPr>
      <w:r>
        <w:rPr>
          <w:rFonts w:ascii="Calibri" w:hAnsi="Calibri" w:cs="Calibri"/>
          <w:sz w:val="22"/>
          <w:szCs w:val="22"/>
        </w:rPr>
        <w:t xml:space="preserve">Las Comandancias Generales de Ceuta y Larache, no tuvieron planes de despliegues si no más bien planes de operaciones para el sometimiento de ciertas kabilas donde imperaba la influencia de El Raisuni. Estas operaciones, denominadas </w:t>
      </w:r>
      <w:r w:rsidR="00765F9A">
        <w:rPr>
          <w:rFonts w:ascii="Calibri" w:hAnsi="Calibri" w:cs="Calibri"/>
          <w:sz w:val="22"/>
          <w:szCs w:val="22"/>
        </w:rPr>
        <w:t>«</w:t>
      </w:r>
      <w:r>
        <w:rPr>
          <w:rFonts w:ascii="Calibri" w:hAnsi="Calibri" w:cs="Calibri"/>
          <w:sz w:val="22"/>
          <w:szCs w:val="22"/>
        </w:rPr>
        <w:t>de castigo</w:t>
      </w:r>
      <w:r w:rsidR="00765F9A">
        <w:rPr>
          <w:rFonts w:ascii="Calibri" w:hAnsi="Calibri" w:cs="Calibri"/>
          <w:sz w:val="22"/>
          <w:szCs w:val="22"/>
        </w:rPr>
        <w:t>»</w:t>
      </w:r>
      <w:r>
        <w:rPr>
          <w:rFonts w:ascii="Calibri" w:hAnsi="Calibri" w:cs="Calibri"/>
          <w:sz w:val="22"/>
          <w:szCs w:val="22"/>
        </w:rPr>
        <w:t xml:space="preserve"> se hacían contra los kaids y jefes de las kabilas y harkas que se opusieron a la voluntad del Majzén e imponiendo la ley del más fuerte.</w:t>
      </w:r>
      <w:r w:rsidR="00765F9A">
        <w:rPr>
          <w:rFonts w:ascii="Calibri" w:hAnsi="Calibri" w:cs="Calibri"/>
          <w:sz w:val="22"/>
          <w:szCs w:val="22"/>
        </w:rPr>
        <w:t xml:space="preserve"> El Alto Comisario General Dámaso Berenguer no necesitaba tantas tropas, pero tuvo sus reservas, pues vaticinó que, a la hora de presentarse una insurgencia contra las fuerzas españolas, debía de contar con medios para contener los actos de rebeldía. </w:t>
      </w:r>
    </w:p>
    <w:p w14:paraId="08B329B5" w14:textId="6FF41C57" w:rsidR="00765F9A" w:rsidRPr="00765F9A" w:rsidRDefault="00765F9A" w:rsidP="007A1E34">
      <w:pPr>
        <w:jc w:val="both"/>
        <w:rPr>
          <w:rFonts w:ascii="Calibri" w:hAnsi="Calibri" w:cs="Calibri"/>
          <w:sz w:val="22"/>
          <w:szCs w:val="22"/>
          <w:u w:val="single"/>
        </w:rPr>
      </w:pPr>
      <w:r w:rsidRPr="00765F9A">
        <w:rPr>
          <w:rFonts w:ascii="Calibri" w:hAnsi="Calibri" w:cs="Calibri"/>
          <w:sz w:val="22"/>
          <w:szCs w:val="22"/>
          <w:u w:val="single"/>
        </w:rPr>
        <w:t xml:space="preserve">¿Porqué no comentó estos detalles a su subordinado el General Fernández Silvestre? </w:t>
      </w:r>
    </w:p>
    <w:p w14:paraId="2C0D2556" w14:textId="2DD1FF23" w:rsidR="00765F9A" w:rsidRDefault="00765F9A" w:rsidP="007A1E34">
      <w:pPr>
        <w:jc w:val="both"/>
        <w:rPr>
          <w:rFonts w:ascii="Calibri" w:hAnsi="Calibri" w:cs="Calibri"/>
          <w:sz w:val="22"/>
          <w:szCs w:val="22"/>
        </w:rPr>
      </w:pPr>
      <w:r>
        <w:rPr>
          <w:rFonts w:ascii="Calibri" w:hAnsi="Calibri" w:cs="Calibri"/>
          <w:sz w:val="22"/>
          <w:szCs w:val="22"/>
        </w:rPr>
        <w:t xml:space="preserve">Con el argumento de «…La Comandancia General de Melilla siempre ha gozado de cierta autonomía en la ejecución de sus operaciones…» El Alto Comisario General Dámaso Berenguer se ciñó a lo establecido, dejando hacer y deshacer al Comandante General Fernández Silvestre, siempre y cuando este cumpliese con los planes </w:t>
      </w:r>
      <w:r w:rsidR="00A40071">
        <w:rPr>
          <w:rFonts w:ascii="Calibri" w:hAnsi="Calibri" w:cs="Calibri"/>
          <w:sz w:val="22"/>
          <w:szCs w:val="22"/>
        </w:rPr>
        <w:t xml:space="preserve">que el propio </w:t>
      </w:r>
      <w:r w:rsidR="00A40071">
        <w:rPr>
          <w:rFonts w:ascii="Calibri" w:hAnsi="Calibri" w:cs="Calibri"/>
          <w:sz w:val="22"/>
          <w:szCs w:val="22"/>
        </w:rPr>
        <w:t>Alto Comisario General Dámaso Berenguer</w:t>
      </w:r>
      <w:r w:rsidR="00A40071">
        <w:rPr>
          <w:rFonts w:ascii="Calibri" w:hAnsi="Calibri" w:cs="Calibri"/>
          <w:sz w:val="22"/>
          <w:szCs w:val="22"/>
        </w:rPr>
        <w:t xml:space="preserve"> diseñó para los avances sobre el territorio del Rif oriental y central. </w:t>
      </w:r>
    </w:p>
    <w:p w14:paraId="27045C61" w14:textId="736F8399" w:rsidR="00765F9A" w:rsidRPr="00765F9A" w:rsidRDefault="00765F9A" w:rsidP="007A1E34">
      <w:pPr>
        <w:jc w:val="both"/>
        <w:rPr>
          <w:rFonts w:ascii="Calibri" w:hAnsi="Calibri" w:cs="Calibri"/>
          <w:sz w:val="22"/>
          <w:szCs w:val="22"/>
          <w:u w:val="single"/>
        </w:rPr>
      </w:pPr>
      <w:r w:rsidRPr="00765F9A">
        <w:rPr>
          <w:rFonts w:ascii="Calibri" w:hAnsi="Calibri" w:cs="Calibri"/>
          <w:sz w:val="22"/>
          <w:szCs w:val="22"/>
          <w:u w:val="single"/>
        </w:rPr>
        <w:t xml:space="preserve">¿Porqué no se atendió la petición de refuerzos y créditos de la Comandancia General de Melilla? </w:t>
      </w:r>
    </w:p>
    <w:p w14:paraId="5521CE60" w14:textId="741FFAC2" w:rsidR="00765F9A" w:rsidRDefault="00765F9A" w:rsidP="007A1E34">
      <w:pPr>
        <w:jc w:val="both"/>
        <w:rPr>
          <w:rFonts w:ascii="Calibri" w:hAnsi="Calibri" w:cs="Calibri"/>
          <w:sz w:val="22"/>
          <w:szCs w:val="22"/>
        </w:rPr>
      </w:pPr>
      <w:r>
        <w:rPr>
          <w:rFonts w:ascii="Calibri" w:hAnsi="Calibri" w:cs="Calibri"/>
          <w:sz w:val="22"/>
          <w:szCs w:val="22"/>
        </w:rPr>
        <w:t xml:space="preserve"> No se entiende como desde la toma de la posición de Sidi-Dris, el 12 de marzo de 1921, las numerosas y constantes peticiones de refuerzos y de créditos no fueron atendidas por la máxima autoridad del Protectorado, el Alto Comisario General Dámaso Berenguer. </w:t>
      </w:r>
      <w:r w:rsidR="00FC256A">
        <w:rPr>
          <w:rFonts w:ascii="Calibri" w:hAnsi="Calibri" w:cs="Calibri"/>
          <w:sz w:val="22"/>
          <w:szCs w:val="22"/>
        </w:rPr>
        <w:t xml:space="preserve">Cuesta comprender, cómo </w:t>
      </w:r>
      <w:r w:rsidR="00A40071">
        <w:rPr>
          <w:rFonts w:ascii="Calibri" w:hAnsi="Calibri" w:cs="Calibri"/>
          <w:sz w:val="22"/>
          <w:szCs w:val="22"/>
        </w:rPr>
        <w:t xml:space="preserve">el </w:t>
      </w:r>
      <w:r w:rsidR="00A40071">
        <w:rPr>
          <w:rFonts w:ascii="Calibri" w:hAnsi="Calibri" w:cs="Calibri"/>
          <w:sz w:val="22"/>
          <w:szCs w:val="22"/>
        </w:rPr>
        <w:t xml:space="preserve">Alto Comisario General Dámaso Berenguer </w:t>
      </w:r>
      <w:r w:rsidR="00A40071">
        <w:rPr>
          <w:rFonts w:ascii="Calibri" w:hAnsi="Calibri" w:cs="Calibri"/>
          <w:sz w:val="22"/>
          <w:szCs w:val="22"/>
        </w:rPr>
        <w:t xml:space="preserve">permitió que </w:t>
      </w:r>
      <w:r w:rsidR="00FC256A">
        <w:rPr>
          <w:rFonts w:ascii="Calibri" w:hAnsi="Calibri" w:cs="Calibri"/>
          <w:sz w:val="22"/>
          <w:szCs w:val="22"/>
        </w:rPr>
        <w:t>continua</w:t>
      </w:r>
      <w:r w:rsidR="00A40071">
        <w:rPr>
          <w:rFonts w:ascii="Calibri" w:hAnsi="Calibri" w:cs="Calibri"/>
          <w:sz w:val="22"/>
          <w:szCs w:val="22"/>
        </w:rPr>
        <w:t xml:space="preserve">se el </w:t>
      </w:r>
      <w:r w:rsidR="00A40071" w:rsidRPr="00A40071">
        <w:rPr>
          <w:rFonts w:ascii="Calibri" w:hAnsi="Calibri" w:cs="Calibri"/>
          <w:sz w:val="22"/>
          <w:szCs w:val="22"/>
        </w:rPr>
        <w:t>Comandante General Fernández Silvestre</w:t>
      </w:r>
      <w:r w:rsidR="00FC256A">
        <w:rPr>
          <w:rFonts w:ascii="Calibri" w:hAnsi="Calibri" w:cs="Calibri"/>
          <w:sz w:val="22"/>
          <w:szCs w:val="22"/>
        </w:rPr>
        <w:t xml:space="preserve"> con los planes de expansión, sabiendo el Alto Comisario General </w:t>
      </w:r>
      <w:r w:rsidR="00FC256A">
        <w:rPr>
          <w:rFonts w:ascii="Calibri" w:hAnsi="Calibri" w:cs="Calibri"/>
          <w:sz w:val="22"/>
          <w:szCs w:val="22"/>
        </w:rPr>
        <w:lastRenderedPageBreak/>
        <w:t>Dámaso Berenguer que tenía que proporcionar más medios y recursos económicos</w:t>
      </w:r>
      <w:r w:rsidR="00A40071">
        <w:rPr>
          <w:rFonts w:ascii="Calibri" w:hAnsi="Calibri" w:cs="Calibri"/>
          <w:sz w:val="22"/>
          <w:szCs w:val="22"/>
        </w:rPr>
        <w:t xml:space="preserve">, porque de lo contrario sería muy difícil el continuar operando con pocos y limitados recursos. </w:t>
      </w:r>
    </w:p>
    <w:p w14:paraId="7F46724F" w14:textId="27E024CE" w:rsidR="00B85C29" w:rsidRPr="00B85C29" w:rsidRDefault="00B85C29" w:rsidP="007A1E34">
      <w:pPr>
        <w:jc w:val="both"/>
        <w:rPr>
          <w:rFonts w:ascii="Calibri" w:hAnsi="Calibri" w:cs="Calibri"/>
          <w:sz w:val="22"/>
          <w:szCs w:val="22"/>
          <w:u w:val="single"/>
        </w:rPr>
      </w:pPr>
      <w:r w:rsidRPr="00B85C29">
        <w:rPr>
          <w:rFonts w:ascii="Calibri" w:hAnsi="Calibri" w:cs="Calibri"/>
          <w:sz w:val="22"/>
          <w:szCs w:val="22"/>
          <w:u w:val="single"/>
        </w:rPr>
        <w:t>¿Cuáles fueron las verdaderas razones por las que no se socorrió Zeluán y Monte Arruit?</w:t>
      </w:r>
    </w:p>
    <w:p w14:paraId="74905DF5" w14:textId="5C2A7C83" w:rsidR="00A40071" w:rsidRDefault="00A40071" w:rsidP="007A1E34">
      <w:pPr>
        <w:jc w:val="both"/>
        <w:rPr>
          <w:rFonts w:ascii="Calibri" w:hAnsi="Calibri" w:cs="Calibri"/>
          <w:sz w:val="22"/>
          <w:szCs w:val="22"/>
        </w:rPr>
      </w:pPr>
      <w:r>
        <w:rPr>
          <w:rFonts w:ascii="Calibri" w:hAnsi="Calibri" w:cs="Calibri"/>
          <w:sz w:val="22"/>
          <w:szCs w:val="22"/>
        </w:rPr>
        <w:t xml:space="preserve">El seis de agosto de 1921 en una reunión de Jefes del Ejército de África en la Comandancia General de Melilla, con el beneplácito del Ministro de la Guerra, el Vizconde de Eza, se acuerda no socorrer las posiciones de Zeluan y de Monte Arruit. Con más de 24.000 soldados amontonados en la ciudad de Melilla, bajos los argumentos de, falta de efectivos en las unidades, falta de instrucción, falta de equipamiento, falta de formación de combate, armamento en mal estado y falta de enseres de campaña, El estado Mayor de la Comandancia General de </w:t>
      </w:r>
      <w:r w:rsidR="00B85C29">
        <w:rPr>
          <w:rFonts w:ascii="Calibri" w:hAnsi="Calibri" w:cs="Calibri"/>
          <w:sz w:val="22"/>
          <w:szCs w:val="22"/>
        </w:rPr>
        <w:t xml:space="preserve">Melilla emitió una serie de informes cargados de carencias, insuficiencias e imperfecciones sobre todos los medios y recursos que fueron llegando desde la península a Melilla. </w:t>
      </w:r>
    </w:p>
    <w:p w14:paraId="30BE4026" w14:textId="619455EA" w:rsidR="00B85C29" w:rsidRDefault="00B85C29" w:rsidP="007A1E34">
      <w:pPr>
        <w:jc w:val="both"/>
        <w:rPr>
          <w:rFonts w:ascii="Calibri" w:hAnsi="Calibri" w:cs="Calibri"/>
          <w:sz w:val="22"/>
          <w:szCs w:val="22"/>
          <w:u w:val="single"/>
        </w:rPr>
      </w:pPr>
      <w:r w:rsidRPr="00B85C29">
        <w:rPr>
          <w:rFonts w:ascii="Calibri" w:hAnsi="Calibri" w:cs="Calibri"/>
          <w:sz w:val="22"/>
          <w:szCs w:val="22"/>
          <w:u w:val="single"/>
        </w:rPr>
        <w:t>¿Cómo es posible que el 06 de agosto de 1921 hubiese tantas carencias de medios e instrucción de combate de las unidades y el 12 de agosto de 1921, el Alto Comisario General Dámaso Berenguer presentase un plan al nuevo gobierno del Presidente del Consejo de Ministros, Antonio Maura y Montaner, indicando tener fuerzas preparadas para ir a recuperar el territorio?</w:t>
      </w:r>
    </w:p>
    <w:p w14:paraId="68B99AE5" w14:textId="67901624" w:rsidR="00B85C29" w:rsidRPr="00B85C29" w:rsidRDefault="00B85C29" w:rsidP="007A1E34">
      <w:pPr>
        <w:jc w:val="both"/>
        <w:rPr>
          <w:rFonts w:ascii="Calibri" w:hAnsi="Calibri" w:cs="Calibri"/>
          <w:sz w:val="22"/>
          <w:szCs w:val="22"/>
        </w:rPr>
      </w:pPr>
      <w:r w:rsidRPr="00B85C29">
        <w:rPr>
          <w:rFonts w:ascii="Calibri" w:hAnsi="Calibri" w:cs="Calibri"/>
          <w:sz w:val="22"/>
          <w:szCs w:val="22"/>
        </w:rPr>
        <w:t xml:space="preserve">Cuando se presentó el </w:t>
      </w:r>
      <w:r>
        <w:rPr>
          <w:rFonts w:ascii="Calibri" w:hAnsi="Calibri" w:cs="Calibri"/>
          <w:sz w:val="22"/>
          <w:szCs w:val="22"/>
        </w:rPr>
        <w:t xml:space="preserve">plan de recuperación territorial, tan sólo transcurrieron escasas 72 horas del exterminio y aniquilación de la guarnición de Monte Arruit. No tuvo capacidad de movilizar a sus fuerzas a finales de julio de 1921, esperó a la rendición y una semana escasa después afirmó el Alto Comisario General Dámaso Berenguer poder avanzar. </w:t>
      </w:r>
    </w:p>
    <w:p w14:paraId="7289F467" w14:textId="47F457A7" w:rsidR="00B85C29" w:rsidRDefault="00B85C29" w:rsidP="007A1E34">
      <w:pPr>
        <w:jc w:val="both"/>
        <w:rPr>
          <w:rFonts w:ascii="Calibri" w:hAnsi="Calibri" w:cs="Calibri"/>
          <w:sz w:val="22"/>
          <w:szCs w:val="22"/>
          <w:u w:val="single"/>
        </w:rPr>
      </w:pPr>
      <w:r w:rsidRPr="008360C7">
        <w:rPr>
          <w:rFonts w:ascii="Calibri" w:hAnsi="Calibri" w:cs="Calibri"/>
          <w:sz w:val="22"/>
          <w:szCs w:val="22"/>
          <w:u w:val="single"/>
        </w:rPr>
        <w:t xml:space="preserve">¿Cómo es posible </w:t>
      </w:r>
      <w:r w:rsidR="008360C7" w:rsidRPr="008360C7">
        <w:rPr>
          <w:rFonts w:ascii="Calibri" w:hAnsi="Calibri" w:cs="Calibri"/>
          <w:sz w:val="22"/>
          <w:szCs w:val="22"/>
          <w:u w:val="single"/>
        </w:rPr>
        <w:t>que,</w:t>
      </w:r>
      <w:r w:rsidRPr="008360C7">
        <w:rPr>
          <w:rFonts w:ascii="Calibri" w:hAnsi="Calibri" w:cs="Calibri"/>
          <w:sz w:val="22"/>
          <w:szCs w:val="22"/>
          <w:u w:val="single"/>
        </w:rPr>
        <w:t xml:space="preserve"> en sólo una semana, se pasase del mayor de los desastre incluyendo la pérdida de Melilla, al entusiasmo de comunicar un nuevo plan para recuperar el territorio?</w:t>
      </w:r>
      <w:r w:rsidR="008360C7" w:rsidRPr="008360C7">
        <w:rPr>
          <w:rFonts w:ascii="Calibri" w:hAnsi="Calibri" w:cs="Calibri"/>
          <w:sz w:val="22"/>
          <w:szCs w:val="22"/>
          <w:u w:val="single"/>
        </w:rPr>
        <w:t xml:space="preserve"> </w:t>
      </w:r>
    </w:p>
    <w:p w14:paraId="60E5ED8A" w14:textId="77147358" w:rsidR="008360C7" w:rsidRDefault="008360C7" w:rsidP="007A1E34">
      <w:pPr>
        <w:jc w:val="both"/>
        <w:rPr>
          <w:rFonts w:ascii="Calibri" w:hAnsi="Calibri" w:cs="Calibri"/>
          <w:sz w:val="22"/>
          <w:szCs w:val="22"/>
        </w:rPr>
      </w:pPr>
      <w:r>
        <w:rPr>
          <w:rFonts w:ascii="Calibri" w:hAnsi="Calibri" w:cs="Calibri"/>
          <w:sz w:val="22"/>
          <w:szCs w:val="22"/>
        </w:rPr>
        <w:t xml:space="preserve">La ambigüedad de las comunicaciones entre autoridades y las decisiones que se abandonaron a acontecimientos de terceros, sólo explica el proceder del Alto Comisario General Dámaso Berenguer, pues no se entiende cómo pasó de un extremo a otro, en tan poco tiempo, no ha habido una explicación lógica a todas estas cuestiones. </w:t>
      </w:r>
    </w:p>
    <w:p w14:paraId="4E8F20A6" w14:textId="2137CC13" w:rsidR="008360C7" w:rsidRDefault="008360C7" w:rsidP="007A1E34">
      <w:pPr>
        <w:jc w:val="both"/>
        <w:rPr>
          <w:rFonts w:ascii="Calibri" w:hAnsi="Calibri" w:cs="Calibri"/>
          <w:sz w:val="22"/>
          <w:szCs w:val="22"/>
        </w:rPr>
      </w:pPr>
    </w:p>
    <w:p w14:paraId="3C94D923" w14:textId="24D78903" w:rsidR="008360C7" w:rsidRPr="008360C7" w:rsidRDefault="008360C7" w:rsidP="007A1E34">
      <w:pPr>
        <w:jc w:val="both"/>
        <w:rPr>
          <w:rFonts w:ascii="Calibri" w:hAnsi="Calibri" w:cs="Calibri"/>
          <w:sz w:val="22"/>
          <w:szCs w:val="22"/>
        </w:rPr>
      </w:pPr>
      <w:r>
        <w:rPr>
          <w:rFonts w:ascii="Calibri" w:hAnsi="Calibri" w:cs="Calibri"/>
          <w:sz w:val="22"/>
          <w:szCs w:val="22"/>
        </w:rPr>
        <w:t>Salvador Andrés Peláez</w:t>
      </w:r>
    </w:p>
    <w:sectPr w:rsidR="008360C7" w:rsidRPr="00836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34"/>
    <w:rsid w:val="00336E95"/>
    <w:rsid w:val="00482CBF"/>
    <w:rsid w:val="00765F9A"/>
    <w:rsid w:val="007A1E34"/>
    <w:rsid w:val="008360C7"/>
    <w:rsid w:val="00940169"/>
    <w:rsid w:val="00A40071"/>
    <w:rsid w:val="00B85C29"/>
    <w:rsid w:val="00BB0CBD"/>
    <w:rsid w:val="00FC25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0D4F6"/>
  <w15:chartTrackingRefBased/>
  <w15:docId w15:val="{3BB870CD-C251-4208-B8C1-7E8B6764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1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1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1E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1E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1E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1E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1E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1E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1E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1E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A1E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A1E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A1E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A1E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A1E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1E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1E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1E34"/>
    <w:rPr>
      <w:rFonts w:eastAsiaTheme="majorEastAsia" w:cstheme="majorBidi"/>
      <w:color w:val="272727" w:themeColor="text1" w:themeTint="D8"/>
    </w:rPr>
  </w:style>
  <w:style w:type="paragraph" w:styleId="Ttulo">
    <w:name w:val="Title"/>
    <w:basedOn w:val="Normal"/>
    <w:next w:val="Normal"/>
    <w:link w:val="TtuloCar"/>
    <w:uiPriority w:val="10"/>
    <w:qFormat/>
    <w:rsid w:val="007A1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1E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1E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1E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1E34"/>
    <w:pPr>
      <w:spacing w:before="160"/>
      <w:jc w:val="center"/>
    </w:pPr>
    <w:rPr>
      <w:i/>
      <w:iCs/>
      <w:color w:val="404040" w:themeColor="text1" w:themeTint="BF"/>
    </w:rPr>
  </w:style>
  <w:style w:type="character" w:customStyle="1" w:styleId="CitaCar">
    <w:name w:val="Cita Car"/>
    <w:basedOn w:val="Fuentedeprrafopredeter"/>
    <w:link w:val="Cita"/>
    <w:uiPriority w:val="29"/>
    <w:rsid w:val="007A1E34"/>
    <w:rPr>
      <w:i/>
      <w:iCs/>
      <w:color w:val="404040" w:themeColor="text1" w:themeTint="BF"/>
    </w:rPr>
  </w:style>
  <w:style w:type="paragraph" w:styleId="Prrafodelista">
    <w:name w:val="List Paragraph"/>
    <w:basedOn w:val="Normal"/>
    <w:uiPriority w:val="34"/>
    <w:qFormat/>
    <w:rsid w:val="007A1E34"/>
    <w:pPr>
      <w:ind w:left="720"/>
      <w:contextualSpacing/>
    </w:pPr>
  </w:style>
  <w:style w:type="character" w:styleId="nfasisintenso">
    <w:name w:val="Intense Emphasis"/>
    <w:basedOn w:val="Fuentedeprrafopredeter"/>
    <w:uiPriority w:val="21"/>
    <w:qFormat/>
    <w:rsid w:val="007A1E34"/>
    <w:rPr>
      <w:i/>
      <w:iCs/>
      <w:color w:val="0F4761" w:themeColor="accent1" w:themeShade="BF"/>
    </w:rPr>
  </w:style>
  <w:style w:type="paragraph" w:styleId="Citadestacada">
    <w:name w:val="Intense Quote"/>
    <w:basedOn w:val="Normal"/>
    <w:next w:val="Normal"/>
    <w:link w:val="CitadestacadaCar"/>
    <w:uiPriority w:val="30"/>
    <w:qFormat/>
    <w:rsid w:val="007A1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1E34"/>
    <w:rPr>
      <w:i/>
      <w:iCs/>
      <w:color w:val="0F4761" w:themeColor="accent1" w:themeShade="BF"/>
    </w:rPr>
  </w:style>
  <w:style w:type="character" w:styleId="Referenciaintensa">
    <w:name w:val="Intense Reference"/>
    <w:basedOn w:val="Fuentedeprrafopredeter"/>
    <w:uiPriority w:val="32"/>
    <w:qFormat/>
    <w:rsid w:val="007A1E34"/>
    <w:rPr>
      <w:b/>
      <w:bCs/>
      <w:smallCaps/>
      <w:color w:val="0F4761" w:themeColor="accent1" w:themeShade="BF"/>
      <w:spacing w:val="5"/>
    </w:rPr>
  </w:style>
  <w:style w:type="character" w:styleId="Hipervnculo">
    <w:name w:val="Hyperlink"/>
    <w:basedOn w:val="Fuentedeprrafopredeter"/>
    <w:uiPriority w:val="99"/>
    <w:unhideWhenUsed/>
    <w:rsid w:val="007A1E34"/>
    <w:rPr>
      <w:color w:val="467886" w:themeColor="hyperlink"/>
      <w:u w:val="single"/>
    </w:rPr>
  </w:style>
  <w:style w:type="character" w:styleId="Mencinsinresolver">
    <w:name w:val="Unresolved Mention"/>
    <w:basedOn w:val="Fuentedeprrafopredeter"/>
    <w:uiPriority w:val="99"/>
    <w:semiHidden/>
    <w:unhideWhenUsed/>
    <w:rsid w:val="007A1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2026-04-24T15:56:00Z</dcterms:created>
  <dcterms:modified xsi:type="dcterms:W3CDTF">2026-04-24T17:02:00Z</dcterms:modified>
</cp:coreProperties>
</file>